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36DAB" w14:textId="423E6669" w:rsidR="000B33E3" w:rsidRPr="00F06ACB" w:rsidRDefault="000B33E3" w:rsidP="000B33E3">
      <w:pPr>
        <w:pStyle w:val="MDPI41tablecaption"/>
        <w:jc w:val="center"/>
      </w:pPr>
      <w:r w:rsidRPr="00F06ACB">
        <w:rPr>
          <w:b/>
        </w:rPr>
        <w:t xml:space="preserve">Table </w:t>
      </w:r>
      <w:r w:rsidR="00C94672">
        <w:rPr>
          <w:b/>
        </w:rPr>
        <w:t>2</w:t>
      </w:r>
      <w:r w:rsidRPr="00F06ACB">
        <w:rPr>
          <w:b/>
        </w:rPr>
        <w:t>.</w:t>
      </w:r>
      <w:r w:rsidRPr="00F06ACB">
        <w:t xml:space="preserve"> </w:t>
      </w:r>
      <w:bookmarkStart w:id="0" w:name="_GoBack"/>
      <w:r>
        <w:t>Summary of the results of the studies included in our narrative review, grouped by the type of preventive strategy</w:t>
      </w:r>
      <w:bookmarkEnd w:id="0"/>
    </w:p>
    <w:tbl>
      <w:tblPr>
        <w:tblW w:w="14632" w:type="dxa"/>
        <w:jc w:val="center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428"/>
        <w:gridCol w:w="2247"/>
        <w:gridCol w:w="1599"/>
        <w:gridCol w:w="6317"/>
        <w:gridCol w:w="2041"/>
      </w:tblGrid>
      <w:tr w:rsidR="000B33E3" w:rsidRPr="00E82D53" w14:paraId="485DE721" w14:textId="77777777" w:rsidTr="0035318E">
        <w:trPr>
          <w:jc w:val="center"/>
        </w:trPr>
        <w:tc>
          <w:tcPr>
            <w:tcW w:w="24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230399" w14:textId="77777777" w:rsidR="000B33E3" w:rsidRDefault="000B33E3" w:rsidP="004500EA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Preventive strategy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4DF38E" w14:textId="77777777" w:rsidR="000B33E3" w:rsidRPr="0056617C" w:rsidRDefault="000B33E3" w:rsidP="004500EA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Study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854282" w14:textId="77777777" w:rsidR="000B33E3" w:rsidRDefault="000B33E3" w:rsidP="004500EA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Study design</w:t>
            </w:r>
          </w:p>
        </w:tc>
        <w:tc>
          <w:tcPr>
            <w:tcW w:w="63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570B6" w14:textId="77777777" w:rsidR="000B33E3" w:rsidRPr="0056617C" w:rsidRDefault="000B33E3" w:rsidP="004500EA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Outcomes of interest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1B6C8" w14:textId="77777777" w:rsidR="000B33E3" w:rsidRPr="0056617C" w:rsidRDefault="000B33E3" w:rsidP="004500EA">
            <w:pPr>
              <w:pStyle w:val="MDPI42tablebody"/>
              <w:spacing w:line="240" w:lineRule="auto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0B33E3" w:rsidRPr="00AF0004" w14:paraId="3A1B6175" w14:textId="77777777" w:rsidTr="00764101">
        <w:trPr>
          <w:trHeight w:val="484"/>
          <w:jc w:val="center"/>
        </w:trPr>
        <w:tc>
          <w:tcPr>
            <w:tcW w:w="2428" w:type="dxa"/>
            <w:shd w:val="clear" w:color="auto" w:fill="FFFFFF" w:themeFill="background1"/>
          </w:tcPr>
          <w:p w14:paraId="5578B9F9" w14:textId="77777777" w:rsidR="000B33E3" w:rsidRPr="00EA1AF3" w:rsidRDefault="000B33E3" w:rsidP="00A33E9D">
            <w:pPr>
              <w:pStyle w:val="MDPI42tablebody"/>
              <w:spacing w:before="120" w:after="120" w:line="240" w:lineRule="auto"/>
            </w:pPr>
            <w:r>
              <w:t>Oral hygiene with CHX</w:t>
            </w:r>
          </w:p>
        </w:tc>
        <w:tc>
          <w:tcPr>
            <w:tcW w:w="2247" w:type="dxa"/>
            <w:shd w:val="clear" w:color="auto" w:fill="FFFFFF" w:themeFill="background1"/>
          </w:tcPr>
          <w:p w14:paraId="13836F42" w14:textId="77777777" w:rsidR="000B33E3" w:rsidRPr="00EA1AF3" w:rsidRDefault="000B33E3" w:rsidP="00A33E9D">
            <w:pPr>
              <w:pStyle w:val="MDPI42tablebody"/>
              <w:spacing w:before="120" w:after="120" w:line="240" w:lineRule="auto"/>
            </w:pPr>
            <w:r>
              <w:t>Tuon et al. (2017)</w:t>
            </w:r>
          </w:p>
        </w:tc>
        <w:tc>
          <w:tcPr>
            <w:tcW w:w="1599" w:type="dxa"/>
            <w:shd w:val="clear" w:color="auto" w:fill="FFFFFF" w:themeFill="background1"/>
          </w:tcPr>
          <w:p w14:paraId="344FFCBC" w14:textId="77777777" w:rsidR="000B33E3" w:rsidRPr="00EA1AF3" w:rsidRDefault="000B33E3" w:rsidP="009D47DE">
            <w:pPr>
              <w:pStyle w:val="MDPI42tablebody"/>
              <w:spacing w:before="120" w:after="120" w:line="240" w:lineRule="auto"/>
            </w:pPr>
            <w:r>
              <w:t>RCT</w:t>
            </w:r>
          </w:p>
        </w:tc>
        <w:tc>
          <w:tcPr>
            <w:tcW w:w="6317" w:type="dxa"/>
            <w:shd w:val="clear" w:color="auto" w:fill="FFFFFF" w:themeFill="background1"/>
            <w:vAlign w:val="center"/>
          </w:tcPr>
          <w:p w14:paraId="7B9F9641" w14:textId="77777777" w:rsidR="000B33E3" w:rsidRDefault="000B33E3" w:rsidP="00A33E9D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0B33E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Day 5, all patients had a positive culture result for the OM and DP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including ESBL, CRPA, KPC, MRSA, CRAB</w:t>
            </w:r>
            <w:r w:rsidRPr="000B33E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</w:p>
          <w:p w14:paraId="34543346" w14:textId="77777777" w:rsidR="000B33E3" w:rsidRDefault="000B33E3" w:rsidP="00A33E9D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CHX resulted in significant reduction </w:t>
            </w:r>
            <w:r w:rsidR="004E47C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in the total number of MDR bacteria and percentage of MRSA</w:t>
            </w:r>
          </w:p>
          <w:p w14:paraId="1D3FE16B" w14:textId="77777777" w:rsidR="00F62DDD" w:rsidRPr="000B33E3" w:rsidRDefault="004E47C7" w:rsidP="00A33E9D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High susceptibility of </w:t>
            </w:r>
            <w:r w:rsidRPr="004E47C7"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S. aureus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and Gram-negative bacilli for CHX, even after brief exposure and relatively low concentrations</w:t>
            </w:r>
          </w:p>
        </w:tc>
        <w:tc>
          <w:tcPr>
            <w:tcW w:w="2041" w:type="dxa"/>
            <w:shd w:val="clear" w:color="auto" w:fill="FFFFFF" w:themeFill="background1"/>
          </w:tcPr>
          <w:p w14:paraId="36B7894F" w14:textId="77777777" w:rsidR="000B33E3" w:rsidRPr="00EA1AF3" w:rsidRDefault="004E47C7" w:rsidP="009D47DE">
            <w:pPr>
              <w:pStyle w:val="MDPI42tablebody"/>
              <w:spacing w:before="120" w:after="120" w:line="240" w:lineRule="auto"/>
              <w:jc w:val="left"/>
            </w:pPr>
            <w:r>
              <w:t>Sample size too small to assess the influence of CHX on the incidence of MDR-VAP</w:t>
            </w:r>
          </w:p>
        </w:tc>
      </w:tr>
      <w:tr w:rsidR="000B33E3" w:rsidRPr="00AF0004" w14:paraId="36386E44" w14:textId="77777777" w:rsidTr="00764101">
        <w:trPr>
          <w:jc w:val="center"/>
        </w:trPr>
        <w:tc>
          <w:tcPr>
            <w:tcW w:w="2428" w:type="dxa"/>
            <w:tcBorders>
              <w:bottom w:val="nil"/>
            </w:tcBorders>
            <w:shd w:val="clear" w:color="auto" w:fill="F2F2F2" w:themeFill="background1" w:themeFillShade="F2"/>
          </w:tcPr>
          <w:p w14:paraId="4776A377" w14:textId="77777777" w:rsidR="000B33E3" w:rsidRPr="00EA1AF3" w:rsidRDefault="004E47C7" w:rsidP="00A33E9D">
            <w:pPr>
              <w:pStyle w:val="MDPI42tablebody"/>
              <w:spacing w:before="120" w:after="120" w:line="240" w:lineRule="auto"/>
            </w:pPr>
            <w:r>
              <w:t>CHX bathing and cleansing</w:t>
            </w:r>
          </w:p>
        </w:tc>
        <w:tc>
          <w:tcPr>
            <w:tcW w:w="2247" w:type="dxa"/>
            <w:tcBorders>
              <w:bottom w:val="nil"/>
            </w:tcBorders>
            <w:shd w:val="clear" w:color="auto" w:fill="F2F2F2" w:themeFill="background1" w:themeFillShade="F2"/>
          </w:tcPr>
          <w:p w14:paraId="2D69DD87" w14:textId="77777777" w:rsidR="000B33E3" w:rsidRPr="00EA1AF3" w:rsidRDefault="00740F77" w:rsidP="00A33E9D">
            <w:pPr>
              <w:pStyle w:val="MDPI42tablebody"/>
              <w:spacing w:before="120" w:after="120" w:line="240" w:lineRule="auto"/>
            </w:pPr>
            <w:r>
              <w:t>Noto</w:t>
            </w:r>
            <w:r w:rsidR="004E47C7">
              <w:t xml:space="preserve"> et al. (201</w:t>
            </w:r>
            <w:r>
              <w:t>5</w:t>
            </w:r>
            <w:r w:rsidR="004E47C7">
              <w:t>)</w:t>
            </w:r>
          </w:p>
        </w:tc>
        <w:tc>
          <w:tcPr>
            <w:tcW w:w="1599" w:type="dxa"/>
            <w:tcBorders>
              <w:bottom w:val="nil"/>
            </w:tcBorders>
            <w:shd w:val="clear" w:color="auto" w:fill="F2F2F2" w:themeFill="background1" w:themeFillShade="F2"/>
          </w:tcPr>
          <w:p w14:paraId="516460F4" w14:textId="77777777" w:rsidR="000B33E3" w:rsidRPr="00EA1AF3" w:rsidRDefault="004E47C7" w:rsidP="00A33E9D">
            <w:pPr>
              <w:pStyle w:val="MDPI42tablebody"/>
              <w:spacing w:before="120" w:after="120" w:line="240" w:lineRule="auto"/>
            </w:pPr>
            <w:r>
              <w:t>RCT</w:t>
            </w:r>
          </w:p>
        </w:tc>
        <w:tc>
          <w:tcPr>
            <w:tcW w:w="6317" w:type="dxa"/>
            <w:tcBorders>
              <w:bottom w:val="nil"/>
            </w:tcBorders>
            <w:shd w:val="clear" w:color="auto" w:fill="F2F2F2" w:themeFill="background1" w:themeFillShade="F2"/>
          </w:tcPr>
          <w:p w14:paraId="12E85379" w14:textId="09A54CD9" w:rsidR="00740F77" w:rsidRDefault="00740F77" w:rsidP="00A33E9D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740F7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Non-significant difference in individual infections between 2% CHX impregnated and non-antimicrobial impregnated </w:t>
            </w:r>
            <w:r w:rsidR="008C34F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(aRR</w:t>
            </w:r>
            <w:r w:rsidR="008C34F3" w:rsidRPr="008C34F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in treatment group: 0.94; 95% CI 0.65-1.37; p=0.83</w:t>
            </w:r>
            <w:r w:rsidR="008C34F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)</w:t>
            </w:r>
          </w:p>
          <w:p w14:paraId="75D712D5" w14:textId="77777777" w:rsidR="00740F77" w:rsidRDefault="00740F77" w:rsidP="00A33E9D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Three different post-hoc analyses resulted in a significant increase in possible or probable VAP</w:t>
            </w:r>
            <w:r w:rsidR="00173F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with the use of 2% CHX-impregnated cloths</w:t>
            </w:r>
          </w:p>
          <w:p w14:paraId="56FA7954" w14:textId="77777777" w:rsidR="00173F37" w:rsidRPr="00740F77" w:rsidRDefault="00173F37" w:rsidP="00A33E9D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No difference in the rate of cultures positive for MDR organisms between the two bathing periods</w:t>
            </w:r>
          </w:p>
        </w:tc>
        <w:tc>
          <w:tcPr>
            <w:tcW w:w="2041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20D6068" w14:textId="77777777" w:rsidR="000B33E3" w:rsidRPr="00EA1AF3" w:rsidRDefault="00173F37" w:rsidP="009D47DE">
            <w:pPr>
              <w:pStyle w:val="MDPI42tablebody"/>
              <w:spacing w:before="120" w:after="120" w:line="240" w:lineRule="auto"/>
              <w:jc w:val="left"/>
            </w:pPr>
            <w:r>
              <w:t xml:space="preserve">Small absolute number of VAP events compared to the number of patients may have avoided a to explore for any infection-specific differences in the positivity of cultures for MDR between the two bathing periods </w:t>
            </w:r>
          </w:p>
        </w:tc>
      </w:tr>
      <w:tr w:rsidR="00173F37" w:rsidRPr="00AF0004" w14:paraId="665522CE" w14:textId="77777777" w:rsidTr="00764101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DEB038A" w14:textId="77777777" w:rsidR="00173F37" w:rsidRDefault="00173F37" w:rsidP="00A33E9D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BF3A0FF" w14:textId="77777777" w:rsidR="00173F37" w:rsidRDefault="00173F37" w:rsidP="00A33E9D">
            <w:pPr>
              <w:pStyle w:val="MDPI42tablebody"/>
              <w:spacing w:before="120" w:after="120" w:line="240" w:lineRule="auto"/>
            </w:pPr>
            <w:r>
              <w:t>Boonyasiri et al. (2016)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3C7424A3" w14:textId="77777777" w:rsidR="00173F37" w:rsidRDefault="00173F37" w:rsidP="00A33E9D">
            <w:pPr>
              <w:pStyle w:val="MDPI42tablebody"/>
              <w:spacing w:before="120" w:after="120" w:line="240" w:lineRule="auto"/>
            </w:pPr>
            <w:r>
              <w:t>RCT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EAE5E6D" w14:textId="43CFE1ED" w:rsidR="000C54E1" w:rsidRDefault="000C54E1" w:rsidP="00A33E9D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No significant difference in number of MDR-related favorable events and incidence rates of VAP between the use of 2% CHX and non-antimicrobial impregnated washcloths</w:t>
            </w:r>
            <w:r w:rsidR="00EB354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EB3543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(</w:t>
            </w:r>
            <w:r w:rsidR="00EB3543" w:rsidRPr="00EB354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6.5 vs 6.1 episodes per 1000 ventilator-days, p=0.69)</w:t>
            </w:r>
          </w:p>
          <w:p w14:paraId="126953F1" w14:textId="77777777" w:rsidR="00F62DDD" w:rsidRDefault="000C54E1" w:rsidP="00A33E9D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No significant difference in MDR-likely etiologies of VAP between the two cleansing strategies</w:t>
            </w:r>
          </w:p>
          <w:p w14:paraId="6DC5FDF2" w14:textId="77777777" w:rsidR="004C44F0" w:rsidRPr="00740F77" w:rsidRDefault="004C44F0" w:rsidP="00A33E9D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5FAC0BFF" w14:textId="77777777" w:rsidR="00173F37" w:rsidRDefault="00173F37" w:rsidP="009D47DE">
            <w:pPr>
              <w:pStyle w:val="MDPI42tablebody"/>
              <w:spacing w:before="120" w:after="120" w:line="240" w:lineRule="auto"/>
              <w:jc w:val="left"/>
            </w:pPr>
          </w:p>
        </w:tc>
      </w:tr>
      <w:tr w:rsidR="000B33E3" w:rsidRPr="00AF0004" w14:paraId="0C084AE7" w14:textId="77777777" w:rsidTr="00F62DD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</w:tcPr>
          <w:p w14:paraId="6B252BA0" w14:textId="77777777" w:rsidR="000B33E3" w:rsidRPr="00EA1AF3" w:rsidRDefault="00F62DDD" w:rsidP="00A33E9D">
            <w:pPr>
              <w:pStyle w:val="MDPI42tablebody"/>
              <w:spacing w:before="120" w:after="120" w:line="240" w:lineRule="auto"/>
            </w:pPr>
            <w:r>
              <w:lastRenderedPageBreak/>
              <w:t>Selective digestive decontamination</w:t>
            </w: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auto"/>
          </w:tcPr>
          <w:p w14:paraId="0C077D75" w14:textId="77777777" w:rsidR="000B33E3" w:rsidRPr="00EA1AF3" w:rsidRDefault="00F62DDD" w:rsidP="00A33E9D">
            <w:pPr>
              <w:pStyle w:val="MDPI42tablebody"/>
              <w:spacing w:before="120" w:after="120" w:line="240" w:lineRule="auto"/>
            </w:pPr>
            <w:r>
              <w:t>Pèrez-Granda et al. (2018)</w:t>
            </w:r>
          </w:p>
        </w:tc>
        <w:tc>
          <w:tcPr>
            <w:tcW w:w="1599" w:type="dxa"/>
            <w:tcBorders>
              <w:top w:val="nil"/>
              <w:bottom w:val="nil"/>
            </w:tcBorders>
          </w:tcPr>
          <w:p w14:paraId="1664AD60" w14:textId="77777777" w:rsidR="000B33E3" w:rsidRPr="00EA1AF3" w:rsidRDefault="007F5D89" w:rsidP="00A33E9D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5BF45F" w14:textId="54C4599E" w:rsidR="000B33E3" w:rsidRPr="00F62DDD" w:rsidRDefault="00F62DDD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F62DDD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Significant decrease in VAP rate after the introduction of SDD both in overall study population </w:t>
            </w:r>
            <w:r w:rsidR="00EB3543" w:rsidRPr="00EB354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(16.26/1,000 days and 6.80 episodes/1,000 days of MV, p=0.01) </w:t>
            </w:r>
            <w:r w:rsidRPr="00F62DDD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and high-risk patients</w:t>
            </w:r>
            <w:r w:rsidR="00EB354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EB3543" w:rsidRPr="00EB354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(25.85/1,000 days and 12.06 episodes/1,000 days of MV, p=0.04 )</w:t>
            </w:r>
          </w:p>
          <w:p w14:paraId="75BAB8B3" w14:textId="77777777" w:rsidR="00F62DDD" w:rsidRDefault="00F62DDD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F62DDD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Delayed occurrence of VAP among the patients receiving SDD</w:t>
            </w:r>
          </w:p>
          <w:p w14:paraId="174CA337" w14:textId="4EF02164" w:rsidR="00F62DDD" w:rsidRPr="004C44F0" w:rsidRDefault="00F62DDD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SDD use was able to reduce the number of isolates positive for MDR or XDR </w:t>
            </w:r>
            <w:r w:rsidRPr="00EB354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P. aeruginosa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EB354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EB3543" w:rsidRPr="00EB354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(p&lt;0.001) 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with no increase in the total number of MDR pathogens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E35F1" w14:textId="77777777" w:rsidR="000B33E3" w:rsidRPr="00EA1AF3" w:rsidRDefault="000B33E3" w:rsidP="009D47DE">
            <w:pPr>
              <w:pStyle w:val="MDPI42tablebody"/>
              <w:spacing w:before="120" w:after="120" w:line="240" w:lineRule="auto"/>
              <w:jc w:val="left"/>
            </w:pPr>
          </w:p>
        </w:tc>
      </w:tr>
      <w:tr w:rsidR="00F62DDD" w:rsidRPr="00764101" w14:paraId="3D4FAD3A" w14:textId="77777777" w:rsidTr="00764101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</w:tcPr>
          <w:p w14:paraId="352E2635" w14:textId="77777777" w:rsidR="00F62DDD" w:rsidRDefault="00F62DDD" w:rsidP="00A33E9D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auto"/>
          </w:tcPr>
          <w:p w14:paraId="467C9220" w14:textId="77777777" w:rsidR="00F62DDD" w:rsidRDefault="00F62DDD" w:rsidP="00A33E9D">
            <w:pPr>
              <w:pStyle w:val="MDPI42tablebody"/>
              <w:spacing w:before="120" w:after="120" w:line="240" w:lineRule="auto"/>
            </w:pPr>
            <w:r>
              <w:t>Sánchez-Ramírez et al. (2018)</w:t>
            </w:r>
          </w:p>
        </w:tc>
        <w:tc>
          <w:tcPr>
            <w:tcW w:w="1599" w:type="dxa"/>
            <w:tcBorders>
              <w:top w:val="nil"/>
              <w:bottom w:val="nil"/>
            </w:tcBorders>
          </w:tcPr>
          <w:p w14:paraId="33FEAB6B" w14:textId="77777777" w:rsidR="00F62DDD" w:rsidRDefault="007F5D89" w:rsidP="00A33E9D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auto"/>
          </w:tcPr>
          <w:p w14:paraId="4C0300E3" w14:textId="2273D5E5" w:rsidR="00F62DDD" w:rsidRDefault="00F62DDD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Significant reduction in MDR-infections, VAP included, with the use of SDD</w:t>
            </w:r>
            <w:r w:rsidR="00EB354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EB3543" w:rsidRPr="00EB3543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(RR 0.43; 95% CI 0.32–0.59, p&lt;0.001)</w:t>
            </w:r>
          </w:p>
          <w:p w14:paraId="2A45D637" w14:textId="77777777" w:rsidR="00F62DDD" w:rsidRDefault="00764101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Significant decrease in antibiotic consumption</w:t>
            </w:r>
          </w:p>
          <w:p w14:paraId="5437B5F9" w14:textId="77777777" w:rsidR="00764101" w:rsidRPr="00764101" w:rsidRDefault="00764101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 w:rsidRPr="00764101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Non-significant increase in adjusted rate of ICU colonization 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resistance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D01EC" w14:textId="77777777" w:rsidR="00F62DDD" w:rsidRPr="00764101" w:rsidRDefault="00F62DDD" w:rsidP="009D47DE">
            <w:pPr>
              <w:pStyle w:val="MDPI42tablebody"/>
              <w:spacing w:before="120" w:after="120" w:line="240" w:lineRule="auto"/>
              <w:jc w:val="left"/>
            </w:pPr>
          </w:p>
        </w:tc>
      </w:tr>
      <w:tr w:rsidR="00764101" w:rsidRPr="00764101" w14:paraId="5BC8C4A5" w14:textId="77777777" w:rsidTr="00A33E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34B55287" w14:textId="77777777" w:rsidR="00764101" w:rsidRDefault="00764101" w:rsidP="00A33E9D">
            <w:pPr>
              <w:pStyle w:val="MDPI42tablebody"/>
              <w:spacing w:before="120" w:after="120" w:line="240" w:lineRule="auto"/>
            </w:pPr>
            <w:r>
              <w:t>Multiple decontamination regimens</w:t>
            </w: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B2BD152" w14:textId="77777777" w:rsidR="00764101" w:rsidRDefault="00764101" w:rsidP="00A33E9D">
            <w:pPr>
              <w:pStyle w:val="MDPI42tablebody"/>
              <w:spacing w:before="120" w:after="120" w:line="240" w:lineRule="auto"/>
            </w:pPr>
            <w:r>
              <w:t>Camus et al. (2015)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B0A0D2E" w14:textId="77777777" w:rsidR="00764101" w:rsidRDefault="007F5D89" w:rsidP="00A33E9D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BA8881C" w14:textId="77777777" w:rsidR="00764101" w:rsidRDefault="0035318E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Decrease in all-cause ICU-acquired infection with a combination of multiple decontamination regimens</w:t>
            </w:r>
          </w:p>
          <w:p w14:paraId="6B7A7150" w14:textId="77777777" w:rsidR="0035318E" w:rsidRDefault="0035318E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Three-fold decline in total intubation-related pneumonias</w:t>
            </w:r>
          </w:p>
          <w:p w14:paraId="5359ED6B" w14:textId="332A3535" w:rsidR="0035318E" w:rsidRDefault="0035318E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Statistically significant decrease in </w:t>
            </w:r>
            <w:r w:rsidRPr="000264BC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P. aeruginosa</w:t>
            </w:r>
            <w:r w:rsidR="000264BC" w:rsidRPr="000264BC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(1.7/1000 vs 3.5/1000).</w:t>
            </w:r>
            <w:r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, </w:t>
            </w:r>
            <w:r w:rsidRPr="0035318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MDR</w:t>
            </w:r>
            <w:r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Enterobacteriaceae 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and CRGNB related infections</w:t>
            </w:r>
          </w:p>
          <w:p w14:paraId="3BF5F651" w14:textId="77777777" w:rsidR="0035318E" w:rsidRPr="0035318E" w:rsidRDefault="0035318E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Non-significant decrease in </w:t>
            </w:r>
            <w:r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MRSA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infection rates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14:paraId="65F75019" w14:textId="77777777" w:rsidR="00764101" w:rsidRPr="00764101" w:rsidRDefault="00764101" w:rsidP="009D47DE">
            <w:pPr>
              <w:pStyle w:val="MDPI42tablebody"/>
              <w:spacing w:before="120" w:after="120" w:line="240" w:lineRule="auto"/>
              <w:jc w:val="left"/>
            </w:pPr>
          </w:p>
        </w:tc>
      </w:tr>
      <w:tr w:rsidR="0035318E" w:rsidRPr="00764101" w14:paraId="7CD74F54" w14:textId="77777777" w:rsidTr="00A33E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02CC78E" w14:textId="77777777" w:rsidR="0035318E" w:rsidRDefault="0035318E" w:rsidP="00A33E9D">
            <w:pPr>
              <w:pStyle w:val="MDPI42tablebody"/>
              <w:spacing w:before="120" w:after="120" w:line="240" w:lineRule="auto"/>
            </w:pPr>
            <w:r>
              <w:t>Probiotic preparation</w:t>
            </w: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0F075B8" w14:textId="77777777" w:rsidR="0035318E" w:rsidRDefault="0035318E" w:rsidP="00A33E9D">
            <w:pPr>
              <w:pStyle w:val="MDPI42tablebody"/>
              <w:spacing w:before="120" w:after="120" w:line="240" w:lineRule="auto"/>
            </w:pPr>
            <w:r>
              <w:t>Mahmoodpoor et al. (2019)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3E0D33B" w14:textId="77777777" w:rsidR="0035318E" w:rsidRDefault="0035318E" w:rsidP="00A33E9D">
            <w:pPr>
              <w:pStyle w:val="MDPI42tablebody"/>
              <w:spacing w:before="120" w:after="120" w:line="240" w:lineRule="auto"/>
            </w:pPr>
            <w:r>
              <w:t>RCT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31471E7" w14:textId="77777777" w:rsidR="0035318E" w:rsidRDefault="0035318E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Significant decrease in the incidence of microbiologically confirmed VAP, hospital and ICU stay and gastric residuals</w:t>
            </w:r>
          </w:p>
          <w:p w14:paraId="12625AF3" w14:textId="77777777" w:rsidR="0035318E" w:rsidRDefault="0035318E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Non-significant decrease in MDR colonization and time to first VAP</w:t>
            </w:r>
          </w:p>
          <w:p w14:paraId="6247E04F" w14:textId="77777777" w:rsidR="004C44F0" w:rsidRDefault="004C44F0" w:rsidP="00A33E9D">
            <w:pPr>
              <w:pStyle w:val="NormaleWeb"/>
              <w:spacing w:before="120" w:beforeAutospacing="0" w:after="120" w:afterAutospacing="0"/>
              <w:jc w:val="center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7D60923E" w14:textId="6E46BB20" w:rsidR="004C44F0" w:rsidRPr="00764101" w:rsidRDefault="004C44F0" w:rsidP="009D47DE">
            <w:pPr>
              <w:pStyle w:val="MDPI42tablebody"/>
              <w:spacing w:before="120" w:after="120" w:line="240" w:lineRule="auto"/>
              <w:jc w:val="left"/>
            </w:pPr>
            <w:r>
              <w:t>The composition of the study population and the microbiological criteria for the diagnosis of VAP may have influenced the results</w:t>
            </w:r>
          </w:p>
        </w:tc>
      </w:tr>
      <w:tr w:rsidR="00AE66B5" w:rsidRPr="00AF0004" w14:paraId="50080BF1" w14:textId="77777777" w:rsidTr="00A33E9D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B0B3EA0" w14:textId="77777777" w:rsidR="00AE66B5" w:rsidRPr="00764101" w:rsidRDefault="00AE66B5" w:rsidP="00AE66B5">
            <w:pPr>
              <w:pStyle w:val="MDPI42tablebody"/>
              <w:spacing w:before="120" w:after="120" w:line="240" w:lineRule="auto"/>
            </w:pPr>
            <w:r>
              <w:lastRenderedPageBreak/>
              <w:t>Silver-coated endotracheal tube</w:t>
            </w: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96E7CBC" w14:textId="7F527DDC" w:rsidR="00AE66B5" w:rsidRPr="00EA1AF3" w:rsidRDefault="00AE66B5" w:rsidP="00AE66B5">
            <w:pPr>
              <w:pStyle w:val="MDPI42tablebody"/>
              <w:spacing w:before="120" w:after="120" w:line="240" w:lineRule="auto"/>
            </w:pPr>
            <w:r>
              <w:t>Afessa et al. (2010)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EB3EE79" w14:textId="6E09814C" w:rsidR="00AE66B5" w:rsidRPr="00EA1AF3" w:rsidRDefault="00AE66B5" w:rsidP="00AE66B5">
            <w:pPr>
              <w:pStyle w:val="MDPI42tablebody"/>
              <w:spacing w:before="120" w:after="120" w:line="240" w:lineRule="auto"/>
            </w:pPr>
            <w:r>
              <w:t>Retrospective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3AAF5A69" w14:textId="4D8E69D4" w:rsidR="00AE66B5" w:rsidRDefault="00AE66B5" w:rsidP="00AE66B5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Significant mortality reduction in patients diagnosed with VAP in the ETT group</w:t>
            </w:r>
            <w:r w:rsidR="000264BC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0264BC" w:rsidRPr="000264BC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(14% vs 36%, p=0.03)</w:t>
            </w:r>
          </w:p>
          <w:p w14:paraId="42D0CDC4" w14:textId="742C437C" w:rsidR="00AE66B5" w:rsidRPr="00A33E9D" w:rsidRDefault="00AE66B5" w:rsidP="00AE66B5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50% lower rate of VAP by potentially MDR bacteria in the ETT group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F72BEA1" w14:textId="77777777" w:rsidR="00AE66B5" w:rsidRPr="00EA1AF3" w:rsidRDefault="00AE66B5" w:rsidP="00AE66B5">
            <w:pPr>
              <w:pStyle w:val="MDPI42tablebody"/>
              <w:spacing w:line="240" w:lineRule="auto"/>
              <w:jc w:val="left"/>
            </w:pPr>
          </w:p>
        </w:tc>
      </w:tr>
      <w:tr w:rsidR="00DA30CF" w:rsidRPr="00AF0004" w14:paraId="62E7ECD1" w14:textId="77777777" w:rsidTr="007F5D8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auto"/>
          </w:tcPr>
          <w:p w14:paraId="0CCCFBEB" w14:textId="77777777" w:rsidR="00DA30CF" w:rsidRDefault="00DA30CF" w:rsidP="00A33E9D">
            <w:pPr>
              <w:pStyle w:val="MDPI42tablebody"/>
              <w:spacing w:before="120" w:after="120" w:line="240" w:lineRule="auto"/>
            </w:pPr>
            <w:r>
              <w:t>Universal gloving and contact isolation</w:t>
            </w: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auto"/>
          </w:tcPr>
          <w:p w14:paraId="2EE92B88" w14:textId="77777777" w:rsidR="00DA30CF" w:rsidRDefault="00DA30CF" w:rsidP="00A33E9D">
            <w:pPr>
              <w:pStyle w:val="MDPI42tablebody"/>
              <w:spacing w:before="120" w:after="120" w:line="240" w:lineRule="auto"/>
            </w:pPr>
            <w:r>
              <w:t>Bearman et al. (2007)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auto"/>
          </w:tcPr>
          <w:p w14:paraId="4237CCFC" w14:textId="77777777" w:rsidR="00DA30CF" w:rsidRDefault="00DA30CF" w:rsidP="00A33E9D">
            <w:pPr>
              <w:pStyle w:val="MDPI42tablebody"/>
              <w:spacing w:before="120" w:after="120" w:line="240" w:lineRule="auto"/>
            </w:pPr>
            <w:r>
              <w:t>RCT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auto"/>
          </w:tcPr>
          <w:p w14:paraId="71BFAB72" w14:textId="2F75EAD0" w:rsidR="00833CA3" w:rsidRDefault="00833CA3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Increased nosocomial infection rates during universal gloving periods, VAP included</w:t>
            </w:r>
            <w:r w:rsidR="00246572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246572" w:rsidRPr="00246572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(0 vs 2.3 episodes per 1000 device days, p&lt;0.001)</w:t>
            </w:r>
          </w:p>
          <w:p w14:paraId="612134B1" w14:textId="77777777" w:rsidR="00833CA3" w:rsidRDefault="00833CA3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No difference in </w:t>
            </w:r>
            <w:r w:rsidRPr="00833CA3"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MRSA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and </w:t>
            </w:r>
            <w:r w:rsidRPr="00833CA3"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VRE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colonization rates between the two study periods 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auto"/>
          </w:tcPr>
          <w:p w14:paraId="51EF42F1" w14:textId="77777777" w:rsidR="00DA30CF" w:rsidRPr="00833CA3" w:rsidRDefault="00833CA3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Inferior compliance relative to hand hygiene was noted during the universal gloving period </w:t>
            </w:r>
          </w:p>
        </w:tc>
      </w:tr>
      <w:tr w:rsidR="007F5D89" w:rsidRPr="00AF0004" w14:paraId="1C299ED0" w14:textId="77777777" w:rsidTr="00762B13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auto"/>
          </w:tcPr>
          <w:p w14:paraId="767502E3" w14:textId="77777777" w:rsidR="007F5D89" w:rsidRDefault="007F5D89" w:rsidP="00A33E9D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auto"/>
          </w:tcPr>
          <w:p w14:paraId="01FCAD10" w14:textId="77777777" w:rsidR="007F5D89" w:rsidRDefault="007F5D89" w:rsidP="00A33E9D">
            <w:pPr>
              <w:pStyle w:val="MDPI42tablebody"/>
              <w:spacing w:before="120" w:after="120" w:line="240" w:lineRule="auto"/>
            </w:pPr>
            <w:r>
              <w:t>Bearman et al. (2010)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auto"/>
          </w:tcPr>
          <w:p w14:paraId="5587F62F" w14:textId="77777777" w:rsidR="007F5D89" w:rsidRDefault="007F5D89" w:rsidP="00A33E9D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auto"/>
          </w:tcPr>
          <w:p w14:paraId="5BFC4BD5" w14:textId="4E027EAA" w:rsidR="007F5D89" w:rsidRDefault="007F5D8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No difference in device-associated infection incidence rates, VAP included</w:t>
            </w:r>
            <w:r w:rsidR="00246572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225DA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</w:t>
            </w:r>
            <w:r w:rsidR="00246572" w:rsidRPr="00225DA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1.0 vs 1.1 cases/1000 device days, p=0.09)</w:t>
            </w:r>
          </w:p>
          <w:p w14:paraId="78F6044A" w14:textId="77777777" w:rsidR="007F5D89" w:rsidRDefault="007F5D8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No difference in </w:t>
            </w:r>
            <w:r w:rsidRPr="00833CA3"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MRSA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and </w:t>
            </w:r>
            <w:r w:rsidRPr="00833CA3"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VRE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colonization rates between the two study periods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auto"/>
          </w:tcPr>
          <w:p w14:paraId="110F89E4" w14:textId="77777777" w:rsidR="007F5D89" w:rsidRDefault="007F5D8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The study was undertaken after aggressive </w:t>
            </w:r>
            <w:r w:rsidR="003B3144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hospital-wide 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hand-hygiene education</w:t>
            </w:r>
          </w:p>
        </w:tc>
      </w:tr>
      <w:tr w:rsidR="00762B13" w:rsidRPr="00AF0004" w14:paraId="673C5198" w14:textId="77777777" w:rsidTr="00B557A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auto"/>
          </w:tcPr>
          <w:p w14:paraId="03BE40C5" w14:textId="77777777" w:rsidR="00762B13" w:rsidRDefault="00762B13" w:rsidP="00A33E9D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auto"/>
          </w:tcPr>
          <w:p w14:paraId="34C789AD" w14:textId="77777777" w:rsidR="00762B13" w:rsidRDefault="00762B13" w:rsidP="00A33E9D">
            <w:pPr>
              <w:pStyle w:val="MDPI42tablebody"/>
              <w:spacing w:before="120" w:after="120" w:line="240" w:lineRule="auto"/>
            </w:pPr>
            <w:r>
              <w:t>Zahar et al. (2013)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auto"/>
          </w:tcPr>
          <w:p w14:paraId="65F98FF5" w14:textId="77777777" w:rsidR="00762B13" w:rsidRDefault="00762B13" w:rsidP="00A33E9D">
            <w:pPr>
              <w:pStyle w:val="MDPI42tablebody"/>
              <w:spacing w:before="120" w:after="120" w:line="240" w:lineRule="auto"/>
            </w:pPr>
            <w:r>
              <w:t>Retrospective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auto"/>
          </w:tcPr>
          <w:p w14:paraId="3214893D" w14:textId="37F3F676" w:rsidR="00762B13" w:rsidRDefault="00762B13" w:rsidP="00B34DD9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Significant increased incidence of MDR-VAP in isolated patients</w:t>
            </w:r>
            <w:r w:rsidR="00225DA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225DA9" w:rsidRP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(sHR 2.1, 95% CI 1.3–3.3, p=0.002)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, along with the risk of medical errors and other non-infectious adverse events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auto"/>
          </w:tcPr>
          <w:p w14:paraId="58E1BDD4" w14:textId="77777777" w:rsidR="00762B13" w:rsidRDefault="00762B13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</w:tr>
      <w:tr w:rsidR="00B557A9" w:rsidRPr="00AF0004" w14:paraId="0A847761" w14:textId="77777777" w:rsidTr="00B557A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0131D6C" w14:textId="77777777" w:rsidR="00B557A9" w:rsidRDefault="00B557A9" w:rsidP="00A33E9D">
            <w:pPr>
              <w:pStyle w:val="MDPI42tablebody"/>
              <w:spacing w:before="120" w:after="120" w:line="240" w:lineRule="auto"/>
            </w:pPr>
            <w:r>
              <w:t>Alcohol-based hand gel</w:t>
            </w: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85C6C9C" w14:textId="77777777" w:rsidR="00B557A9" w:rsidRDefault="00B557A9" w:rsidP="00A33E9D">
            <w:pPr>
              <w:pStyle w:val="MDPI42tablebody"/>
              <w:spacing w:before="120" w:after="120" w:line="240" w:lineRule="auto"/>
            </w:pPr>
            <w:r>
              <w:t>Rupp et al. (2008)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CBF753D" w14:textId="77777777" w:rsidR="00B557A9" w:rsidRDefault="00B557A9" w:rsidP="00A33E9D">
            <w:pPr>
              <w:pStyle w:val="MDPI42tablebody"/>
              <w:spacing w:before="120" w:after="120" w:line="240" w:lineRule="auto"/>
            </w:pPr>
            <w:r>
              <w:t>RCT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8017375" w14:textId="77777777" w:rsidR="00B557A9" w:rsidRDefault="00B557A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No significant relationship with VAP rates and infections due to </w:t>
            </w:r>
            <w:r w:rsidRPr="00B557A9"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MRSA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, </w:t>
            </w:r>
            <w:r w:rsidRPr="00B557A9"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VRE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and </w:t>
            </w:r>
            <w:r w:rsidRPr="00B557A9"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C. difficile</w:t>
            </w:r>
          </w:p>
          <w:p w14:paraId="6AB74896" w14:textId="77777777" w:rsidR="00B557A9" w:rsidRPr="00B557A9" w:rsidRDefault="00B557A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Rings, fingernails length &lt; 2 mm and lack of access to hand gel were all associated to increased microbial carriage on hands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46890B7" w14:textId="77777777" w:rsidR="00B557A9" w:rsidRDefault="00B557A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</w:tr>
      <w:tr w:rsidR="00B557A9" w:rsidRPr="00AF0004" w14:paraId="4D085677" w14:textId="77777777" w:rsidTr="00B557A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16E46EE0" w14:textId="77777777" w:rsidR="00B557A9" w:rsidRDefault="00B557A9" w:rsidP="00A33E9D">
            <w:pPr>
              <w:pStyle w:val="MDPI42tablebody"/>
              <w:spacing w:before="120" w:after="120" w:line="240" w:lineRule="auto"/>
            </w:pPr>
            <w:r>
              <w:t>Environmental decontamination with VHP</w:t>
            </w: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47E4869" w14:textId="77777777" w:rsidR="00B557A9" w:rsidRDefault="00B557A9" w:rsidP="00A33E9D">
            <w:pPr>
              <w:pStyle w:val="MDPI42tablebody"/>
              <w:spacing w:before="120" w:after="120" w:line="240" w:lineRule="auto"/>
            </w:pPr>
            <w:r>
              <w:t>Ray et al. (2008)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BACD776" w14:textId="77777777" w:rsidR="00B557A9" w:rsidRDefault="00B557A9" w:rsidP="00A33E9D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0D29241" w14:textId="77777777" w:rsidR="00B557A9" w:rsidRDefault="00B557A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VHP was effective to stop an outbreak of MDR </w:t>
            </w:r>
            <w:r w:rsidRPr="00B557A9"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A. baumannii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, which most commonly caused VAP in a LTACH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941668F" w14:textId="77777777" w:rsidR="00B557A9" w:rsidRDefault="00E770B5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LTACH setting and</w:t>
            </w:r>
            <w:r w:rsidR="00B557A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sample size</w:t>
            </w:r>
          </w:p>
        </w:tc>
      </w:tr>
      <w:tr w:rsidR="00B557A9" w:rsidRPr="00AF0004" w14:paraId="41A5D430" w14:textId="77777777" w:rsidTr="00ED677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3E9E264" w14:textId="77777777" w:rsidR="00B557A9" w:rsidRDefault="00B557A9" w:rsidP="00A33E9D">
            <w:pPr>
              <w:pStyle w:val="MDPI42tablebody"/>
              <w:spacing w:before="120" w:after="120" w:line="240" w:lineRule="auto"/>
            </w:pPr>
            <w:r>
              <w:t>Bundles of care</w:t>
            </w: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E9EFFAD" w14:textId="77777777" w:rsidR="00B557A9" w:rsidRDefault="009620F2" w:rsidP="00A33E9D">
            <w:pPr>
              <w:pStyle w:val="MDPI42tablebody"/>
              <w:spacing w:before="120" w:after="120" w:line="240" w:lineRule="auto"/>
            </w:pPr>
            <w:r>
              <w:t>Wilks et al. (2006)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4C37886" w14:textId="77777777" w:rsidR="00B557A9" w:rsidRDefault="009620F2" w:rsidP="00A33E9D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9F37D01" w14:textId="77777777" w:rsidR="00B557A9" w:rsidRDefault="009620F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A structured bundle of control measures to improve both hand hygiene and patient care was effective to stop an outbreak of  MDR A. baumannii 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D0F5E6A" w14:textId="77777777" w:rsidR="00B557A9" w:rsidRDefault="00B557A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</w:tr>
      <w:tr w:rsidR="00ED6779" w:rsidRPr="00AF0004" w14:paraId="02D9ACC0" w14:textId="77777777" w:rsidTr="00ED677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1C9FA73" w14:textId="77777777" w:rsidR="00ED6779" w:rsidRDefault="00ED6779" w:rsidP="00A33E9D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C99CC6C" w14:textId="77777777" w:rsidR="00ED6779" w:rsidRDefault="00ED6779" w:rsidP="00A33E9D">
            <w:pPr>
              <w:pStyle w:val="MDPI42tablebody"/>
              <w:spacing w:before="120" w:after="120" w:line="240" w:lineRule="auto"/>
            </w:pPr>
            <w:r>
              <w:t>Berriel-Cass et al. (2006)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343F905" w14:textId="77777777" w:rsidR="00ED6779" w:rsidRDefault="00ED6779" w:rsidP="00A33E9D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1B4E79E" w14:textId="0A7D064B" w:rsidR="00ED6779" w:rsidRDefault="00ED677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Significant decrease in ICU length-of-stay, total ventilator days and VAP rate </w:t>
            </w:r>
            <w:r w:rsid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</w:t>
            </w:r>
            <w:r w:rsidR="00B34DD9" w:rsidRP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from the average of 8.2 per 1000 ventilator days for 13 months to 3.3 per 1000 ventilator days for 24 months, p=0.02</w:t>
            </w:r>
            <w:r w:rsid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)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4267815" w14:textId="77777777" w:rsidR="00ED6779" w:rsidRDefault="00ED677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</w:tr>
      <w:tr w:rsidR="00ED6779" w:rsidRPr="00AF0004" w14:paraId="69835637" w14:textId="77777777" w:rsidTr="00ED677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3C5039C" w14:textId="77777777" w:rsidR="00ED6779" w:rsidRDefault="00ED6779" w:rsidP="00A33E9D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8286AE9" w14:textId="77777777" w:rsidR="00ED6779" w:rsidRDefault="00ED6779" w:rsidP="00A33E9D">
            <w:pPr>
              <w:pStyle w:val="MDPI42tablebody"/>
              <w:spacing w:before="120" w:after="120" w:line="240" w:lineRule="auto"/>
            </w:pPr>
            <w:r>
              <w:t>Landrum et al. (2008)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19A6B7F" w14:textId="77777777" w:rsidR="00ED6779" w:rsidRDefault="00ED6779" w:rsidP="00A33E9D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C1AD4D5" w14:textId="653E767A" w:rsidR="00ED6779" w:rsidRDefault="00ED677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Aggressive implementation of aggressive wide-ranging infections control interventions led to a marked reduction in VAP rates</w:t>
            </w:r>
            <w:r w:rsid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B34DD9" w:rsidRP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(from 60.6 to 11.1 per 1000 ventilator days, p=0.029)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, with sustained improvement</w:t>
            </w:r>
          </w:p>
          <w:p w14:paraId="3C63C639" w14:textId="77777777" w:rsidR="00ED6779" w:rsidRPr="00ED6779" w:rsidRDefault="00ED677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Sustained improvement in antimicrobial susceptibility of </w:t>
            </w:r>
            <w:r w:rsidRPr="00ED6779"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A. baumannii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(the most common pathogen causing VAP in that setting)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AB84030" w14:textId="77777777" w:rsidR="00ED6779" w:rsidRDefault="00ED677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Military field setting</w:t>
            </w:r>
          </w:p>
        </w:tc>
      </w:tr>
      <w:tr w:rsidR="00ED6779" w:rsidRPr="00AF0004" w14:paraId="0BD3F8F0" w14:textId="77777777" w:rsidTr="00ED677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E8F6195" w14:textId="77777777" w:rsidR="00ED6779" w:rsidRDefault="00ED6779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D9F76A9" w14:textId="77777777" w:rsidR="00ED6779" w:rsidRDefault="00881688" w:rsidP="00ED6779">
            <w:pPr>
              <w:pStyle w:val="MDPI42tablebody"/>
              <w:spacing w:before="120" w:after="120" w:line="240" w:lineRule="auto"/>
            </w:pPr>
            <w:r>
              <w:t>Walkey et al. (</w:t>
            </w:r>
            <w:r w:rsidR="00E770B5">
              <w:t>2009)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3997E9AB" w14:textId="77777777" w:rsidR="00ED6779" w:rsidRDefault="00E770B5" w:rsidP="00ED6779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F467ACC" w14:textId="5DE1C896" w:rsidR="00B34DD9" w:rsidRPr="00B34DD9" w:rsidRDefault="00E770B5" w:rsidP="00B34DD9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A bundle of interventions based on CDC guidelines resulted in 56% reduction in VAP rate (95% caused by MDR germs)</w:t>
            </w:r>
            <w:r w:rsid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B34DD9" w:rsidRP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(from 3.8 to 1,67 cases per 1000 ventilator-days after the implementation of the VAP-bundle approach, p&lt;0.001)</w:t>
            </w:r>
          </w:p>
          <w:p w14:paraId="13EC0869" w14:textId="7864D4D9" w:rsidR="00ED6779" w:rsidRDefault="00ED677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10B5BF7" w14:textId="77777777" w:rsidR="00ED6779" w:rsidRDefault="00E770B5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LTACH setting</w:t>
            </w:r>
          </w:p>
        </w:tc>
      </w:tr>
      <w:tr w:rsidR="00ED6779" w:rsidRPr="00AF0004" w14:paraId="1B68144A" w14:textId="77777777" w:rsidTr="00ED677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E01B95F" w14:textId="77777777" w:rsidR="00ED6779" w:rsidRDefault="00ED6779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3315578" w14:textId="77777777" w:rsidR="00ED6779" w:rsidRDefault="00E770B5" w:rsidP="00ED6779">
            <w:pPr>
              <w:pStyle w:val="MDPI42tablebody"/>
              <w:spacing w:before="120" w:after="120" w:line="240" w:lineRule="auto"/>
            </w:pPr>
            <w:r>
              <w:t>Khan et al. (2009)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6A89BE9" w14:textId="77777777" w:rsidR="00ED6779" w:rsidRDefault="00063321" w:rsidP="00ED6779">
            <w:pPr>
              <w:pStyle w:val="MDPI42tablebody"/>
              <w:spacing w:before="120" w:after="120" w:line="240" w:lineRule="auto"/>
            </w:pPr>
            <w:r>
              <w:t>Case-control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D71FFC7" w14:textId="4F994623" w:rsidR="00ED6779" w:rsidRDefault="000819A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Non-significant decrease in VAP rate</w:t>
            </w:r>
            <w:r w:rsidR="004D0314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</w:t>
            </w:r>
            <w:r w:rsid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B34DD9" w:rsidRP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(18% to 13%, p=0.11)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96E66BB" w14:textId="77777777" w:rsidR="00ED6779" w:rsidRDefault="000819A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Lack of an established infrastructure for infection control</w:t>
            </w:r>
          </w:p>
        </w:tc>
      </w:tr>
      <w:tr w:rsidR="004D0314" w:rsidRPr="00AF0004" w14:paraId="69E8E986" w14:textId="77777777" w:rsidTr="00ED677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2DF1435" w14:textId="77777777" w:rsidR="004D0314" w:rsidRDefault="004D0314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316E702" w14:textId="77777777" w:rsidR="004D0314" w:rsidRDefault="004D0314" w:rsidP="00ED6779">
            <w:pPr>
              <w:pStyle w:val="MDPI42tablebody"/>
              <w:spacing w:before="120" w:after="120" w:line="240" w:lineRule="auto"/>
            </w:pPr>
            <w:r>
              <w:t>Alp et al. (2014)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0A90295" w14:textId="77777777" w:rsidR="004D0314" w:rsidRDefault="004D0314" w:rsidP="004D0314">
            <w:pPr>
              <w:pStyle w:val="MDPI42tablebody"/>
              <w:spacing w:before="120" w:after="120" w:line="240" w:lineRule="auto"/>
            </w:pPr>
            <w:r>
              <w:t>Retrospective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ED4EA37" w14:textId="3E44AA6C" w:rsidR="004D0314" w:rsidRDefault="004D031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Non-significant decrease in VAP rates</w:t>
            </w:r>
            <w:r w:rsid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B34DD9" w:rsidRP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(incidence rate ratio, IRR = 0.88, p=0.574)</w:t>
            </w:r>
          </w:p>
          <w:p w14:paraId="592A22E2" w14:textId="1E31BB87" w:rsidR="004D0314" w:rsidRDefault="004D031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Significant reduction in </w:t>
            </w:r>
            <w:r w:rsidRP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MRSA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, </w:t>
            </w:r>
            <w:r w:rsidRP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P. aeruginosa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and </w:t>
            </w:r>
            <w:r w:rsidRP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A. baumannii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colonization</w:t>
            </w:r>
            <w:r w:rsid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B34DD9" w:rsidRPr="00B34DD9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(IRR 0.13, p&lt;0.001 after 3 years; IRR 0.63, p=0.002 after 8 years and IRR 0.53, p&lt;0.001 after 8 years respectively)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0892F50" w14:textId="77777777" w:rsidR="004D0314" w:rsidRDefault="004D031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</w:tr>
      <w:tr w:rsidR="00ED6779" w:rsidRPr="00AF0004" w14:paraId="41F81985" w14:textId="77777777" w:rsidTr="00ED6779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753B53D" w14:textId="77777777" w:rsidR="00ED6779" w:rsidRDefault="00ED6779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15CACCA" w14:textId="77777777" w:rsidR="00ED6779" w:rsidRDefault="004D0314" w:rsidP="00ED6779">
            <w:pPr>
              <w:pStyle w:val="MDPI42tablebody"/>
              <w:spacing w:before="120" w:after="120" w:line="240" w:lineRule="auto"/>
            </w:pPr>
            <w:r>
              <w:t>Righi et al. (2014)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B5DB419" w14:textId="77777777" w:rsidR="00ED6779" w:rsidRDefault="004D0314" w:rsidP="00ED6779">
            <w:pPr>
              <w:pStyle w:val="MDPI42tablebody"/>
              <w:spacing w:before="120" w:after="120" w:line="240" w:lineRule="auto"/>
            </w:pPr>
            <w:r>
              <w:t>Retrospective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4D30072" w14:textId="1F3D1FEE" w:rsidR="00ED6779" w:rsidRDefault="004D031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Significant reduction in VAP incidence</w:t>
            </w:r>
            <w:r w:rsid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(</w:t>
            </w:r>
            <w:r w:rsidR="002C445E" w:rsidRP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from 15.9% to 6.7%</w:t>
            </w:r>
            <w:r w:rsid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, </w:t>
            </w:r>
            <w:r w:rsidR="002C445E" w:rsidRP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p&lt;0.001)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, both early- and late-onset VAP</w:t>
            </w:r>
            <w:r w:rsid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2C445E" w:rsidRP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(6.6% to 1.9%</w:t>
            </w:r>
            <w:r w:rsid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,</w:t>
            </w:r>
            <w:r w:rsidR="002C445E" w:rsidRP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p&lt;0.001 and 9.3% to 4.7%</w:t>
            </w:r>
            <w:r w:rsid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,</w:t>
            </w:r>
            <w:r w:rsidR="002C445E" w:rsidRP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p=0.001 respectively)</w:t>
            </w:r>
          </w:p>
          <w:p w14:paraId="0BEB1542" w14:textId="549B2B7D" w:rsidR="002C445E" w:rsidRPr="002C445E" w:rsidRDefault="004D0314" w:rsidP="002C445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Significantly decreased risk of developing MDR-VAP after the implementation of SDD in the bundle</w:t>
            </w:r>
            <w:r w:rsid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2C445E" w:rsidRPr="002C445E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(OR 0.54; 95% CI, 0.31-0.91). </w:t>
            </w:r>
          </w:p>
          <w:p w14:paraId="2DC4D57B" w14:textId="29A722B4" w:rsidR="004D0314" w:rsidRDefault="004D031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33E8EC5" w14:textId="77777777" w:rsidR="00ED6779" w:rsidRDefault="00ED677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</w:tr>
      <w:tr w:rsidR="00ED6779" w:rsidRPr="00AF0004" w14:paraId="6734F6A5" w14:textId="77777777" w:rsidTr="004D0314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5F7EA31" w14:textId="77777777" w:rsidR="00ED6779" w:rsidRDefault="00ED6779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2E042B3" w14:textId="77777777" w:rsidR="00ED6779" w:rsidRDefault="004D0314" w:rsidP="00ED6779">
            <w:pPr>
              <w:pStyle w:val="MDPI42tablebody"/>
              <w:spacing w:before="120" w:after="120" w:line="240" w:lineRule="auto"/>
            </w:pPr>
            <w:r>
              <w:t>Gao et al. (2015)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06BB242" w14:textId="77777777" w:rsidR="00ED6779" w:rsidRDefault="004D0314" w:rsidP="00ED6779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EA250BC" w14:textId="256901B5" w:rsidR="00ED6779" w:rsidRDefault="004D031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Decrease in VAP incidence </w:t>
            </w:r>
            <w:r w:rsid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(</w:t>
            </w:r>
            <w:r w:rsidR="00C02937" w:rsidRP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from 32.72/1000 to 24.60/1000) 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and in percentage of MDR pathogens</w:t>
            </w:r>
            <w:r w:rsid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C02937" w:rsidRP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(from 67.91% to 59.68%)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400366F" w14:textId="77777777" w:rsidR="00ED6779" w:rsidRDefault="00ED6779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</w:tr>
      <w:tr w:rsidR="004D0314" w:rsidRPr="00AF0004" w14:paraId="13F73D57" w14:textId="77777777" w:rsidTr="004D0314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5E70C3A" w14:textId="77777777" w:rsidR="004D0314" w:rsidRDefault="004D0314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3BCD09AD" w14:textId="77777777" w:rsidR="004D0314" w:rsidRDefault="004D0314" w:rsidP="00ED6779">
            <w:pPr>
              <w:pStyle w:val="MDPI42tablebody"/>
              <w:spacing w:before="120" w:after="120" w:line="240" w:lineRule="auto"/>
            </w:pPr>
            <w:r>
              <w:t>Ali et al. (2016)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3F90E62" w14:textId="77777777" w:rsidR="004D0314" w:rsidRDefault="004D0314" w:rsidP="00ED6779">
            <w:pPr>
              <w:pStyle w:val="MDPI42tablebody"/>
              <w:spacing w:before="120" w:after="120" w:line="240" w:lineRule="auto"/>
            </w:pPr>
            <w:r>
              <w:t>Retrospective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4A9ABF4" w14:textId="56CFEC8D" w:rsidR="004D0314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Progressive decrease in VAP incidence rates</w:t>
            </w:r>
            <w:r w:rsid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C02937" w:rsidRP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(5.42 per 1000 ventilator-days in 2010, 5.91 per 1000 ventilator-days in 2011, and 3.88 per 1000 ventilator-days in 2012)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3C368E20" w14:textId="77777777" w:rsidR="004D0314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Adherence rates to bundle have not been measured</w:t>
            </w:r>
          </w:p>
        </w:tc>
      </w:tr>
      <w:tr w:rsidR="004D0314" w:rsidRPr="00AF0004" w14:paraId="2B68B49F" w14:textId="77777777" w:rsidTr="00505EC2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EF8F2AC" w14:textId="77777777" w:rsidR="004D0314" w:rsidRDefault="004D0314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7F826F92" w14:textId="77777777" w:rsidR="004D0314" w:rsidRDefault="00505EC2" w:rsidP="00ED6779">
            <w:pPr>
              <w:pStyle w:val="MDPI42tablebody"/>
              <w:spacing w:before="120" w:after="120" w:line="240" w:lineRule="auto"/>
            </w:pPr>
            <w:r>
              <w:t>Ibn Saied et al (2017)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9FF31FE" w14:textId="77777777" w:rsidR="004D0314" w:rsidRDefault="00505EC2" w:rsidP="00ED6779">
            <w:pPr>
              <w:pStyle w:val="MDPI42tablebody"/>
              <w:spacing w:before="120" w:after="120" w:line="240" w:lineRule="auto"/>
            </w:pPr>
            <w:r>
              <w:t>Retrospective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E2DC426" w14:textId="77777777" w:rsidR="004D0314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Decrease in early-onset VAP incidence rates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CCACEB5" w14:textId="77777777" w:rsidR="004D0314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Adherence rates to bundle have not been measured</w:t>
            </w:r>
          </w:p>
        </w:tc>
      </w:tr>
      <w:tr w:rsidR="00505EC2" w:rsidRPr="00AF0004" w14:paraId="79D0E6AF" w14:textId="77777777" w:rsidTr="00505EC2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AE5FA72" w14:textId="77777777" w:rsidR="00505EC2" w:rsidRDefault="00505EC2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3C5DA95" w14:textId="77777777" w:rsidR="00505EC2" w:rsidRDefault="00505EC2" w:rsidP="00ED6779">
            <w:pPr>
              <w:pStyle w:val="MDPI42tablebody"/>
              <w:spacing w:before="120" w:after="120" w:line="240" w:lineRule="auto"/>
            </w:pPr>
            <w:r>
              <w:t>Khurana et al. (2017)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85F40A6" w14:textId="77777777" w:rsidR="00505EC2" w:rsidRDefault="00505EC2" w:rsidP="00ED6779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693FF4D2" w14:textId="77777777" w:rsidR="00505EC2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Inverse correlation between VAP incidence and compliance to ventilator bundle + hand </w:t>
            </w:r>
            <w:r w:rsidR="003B0C0F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hygiene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5A0184B" w14:textId="77777777" w:rsidR="00505EC2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</w:tr>
      <w:tr w:rsidR="00505EC2" w:rsidRPr="00AF0004" w14:paraId="194532FD" w14:textId="77777777" w:rsidTr="00505EC2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E2EC7ED" w14:textId="77777777" w:rsidR="00505EC2" w:rsidRDefault="00505EC2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43B8AEC8" w14:textId="77777777" w:rsidR="00505EC2" w:rsidRDefault="00505EC2" w:rsidP="00ED6779">
            <w:pPr>
              <w:pStyle w:val="MDPI42tablebody"/>
              <w:spacing w:before="120" w:after="120" w:line="240" w:lineRule="auto"/>
            </w:pPr>
            <w:r>
              <w:t>Dananché et al. (2018)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1F1606C6" w14:textId="77777777" w:rsidR="00505EC2" w:rsidRDefault="00505EC2" w:rsidP="00ED6779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2B0EA4C9" w14:textId="02F3C89C" w:rsidR="00505EC2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Decline in VAP incidence rates partially explained by improvement in ventilator bundle adherence</w:t>
            </w:r>
            <w:r w:rsid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C02937" w:rsidRP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(aIRR 95%CI 0.88, 0.82–0.94, p&lt;0.001 and 0.89, 0.81–0.98, p=0.022, </w:t>
            </w:r>
            <w:r w:rsid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in the young and old group </w:t>
            </w:r>
            <w:r w:rsidR="00C02937" w:rsidRP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respectively)</w:t>
            </w:r>
          </w:p>
          <w:p w14:paraId="6BD4781A" w14:textId="77777777" w:rsidR="00505EC2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Significant decrease in </w:t>
            </w:r>
            <w:r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MRSA-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related VAP incidence in all age groups</w:t>
            </w:r>
          </w:p>
          <w:p w14:paraId="5110696B" w14:textId="6407FD74" w:rsidR="00505EC2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Stable and reduce</w:t>
            </w:r>
            <w:r w:rsid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d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CRPA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-related VAP incidence in the young and old groups</w:t>
            </w:r>
            <w:r w:rsid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</w:p>
          <w:p w14:paraId="7DA8FDF7" w14:textId="77777777" w:rsidR="00505EC2" w:rsidRPr="00505EC2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Increase in </w:t>
            </w:r>
            <w:r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3GCRE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-related VAP incidence in all age groups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723F39A" w14:textId="77777777" w:rsidR="00505EC2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Adherence rates to bundle have not been measured</w:t>
            </w:r>
          </w:p>
        </w:tc>
      </w:tr>
      <w:tr w:rsidR="00505EC2" w:rsidRPr="00AF0004" w14:paraId="6CF37C2A" w14:textId="77777777" w:rsidTr="002507F4">
        <w:trPr>
          <w:jc w:val="center"/>
        </w:trPr>
        <w:tc>
          <w:tcPr>
            <w:tcW w:w="2428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EC1D7CC" w14:textId="77777777" w:rsidR="00505EC2" w:rsidRDefault="00505EC2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3D807651" w14:textId="77777777" w:rsidR="00505EC2" w:rsidRDefault="00505EC2" w:rsidP="00ED6779">
            <w:pPr>
              <w:pStyle w:val="MDPI42tablebody"/>
              <w:spacing w:before="120" w:after="120" w:line="240" w:lineRule="auto"/>
            </w:pPr>
            <w:r>
              <w:t xml:space="preserve">Kanafani et al. </w:t>
            </w:r>
            <w:r w:rsidR="002507F4">
              <w:t>(</w:t>
            </w:r>
            <w:r>
              <w:t>201</w:t>
            </w:r>
            <w:r w:rsidR="002507F4">
              <w:t>8)</w:t>
            </w:r>
          </w:p>
        </w:tc>
        <w:tc>
          <w:tcPr>
            <w:tcW w:w="1599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0447C6AA" w14:textId="77777777" w:rsidR="00505EC2" w:rsidRDefault="002507F4" w:rsidP="00ED6779">
            <w:pPr>
              <w:pStyle w:val="MDPI42tablebody"/>
              <w:spacing w:before="120" w:after="120" w:line="240" w:lineRule="auto"/>
            </w:pPr>
            <w:r>
              <w:t>Prospective cohort</w:t>
            </w:r>
          </w:p>
        </w:tc>
        <w:tc>
          <w:tcPr>
            <w:tcW w:w="6317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509D14F0" w14:textId="6733F11D" w:rsidR="00505EC2" w:rsidRPr="002507F4" w:rsidRDefault="002507F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Decreased MDR </w:t>
            </w:r>
            <w:r>
              <w:rPr>
                <w:rFonts w:ascii="Palatino Linotype" w:hAnsi="Palatino Linotype"/>
                <w:i/>
                <w:snapToGrid w:val="0"/>
                <w:color w:val="000000"/>
                <w:sz w:val="20"/>
                <w:szCs w:val="20"/>
                <w:lang w:val="en-US" w:eastAsia="de-DE" w:bidi="en-US"/>
              </w:rPr>
              <w:t>A. baumannii</w:t>
            </w: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colonization pressure during a 2 year outbreak</w:t>
            </w:r>
          </w:p>
        </w:tc>
        <w:tc>
          <w:tcPr>
            <w:tcW w:w="2041" w:type="dxa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14:paraId="35392955" w14:textId="77777777" w:rsidR="00505EC2" w:rsidRDefault="00505EC2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</w:tr>
      <w:tr w:rsidR="002507F4" w:rsidRPr="00AF0004" w14:paraId="6D341E23" w14:textId="77777777" w:rsidTr="00ED6779">
        <w:trPr>
          <w:jc w:val="center"/>
        </w:trPr>
        <w:tc>
          <w:tcPr>
            <w:tcW w:w="2428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53EF52BD" w14:textId="77777777" w:rsidR="002507F4" w:rsidRDefault="002507F4" w:rsidP="00ED6779">
            <w:pPr>
              <w:pStyle w:val="MDPI42tablebody"/>
              <w:spacing w:before="120" w:after="120" w:line="240" w:lineRule="auto"/>
            </w:pPr>
          </w:p>
        </w:tc>
        <w:tc>
          <w:tcPr>
            <w:tcW w:w="2247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1F4603B0" w14:textId="77777777" w:rsidR="002507F4" w:rsidRDefault="002507F4" w:rsidP="00ED6779">
            <w:pPr>
              <w:pStyle w:val="MDPI42tablebody"/>
              <w:spacing w:before="120" w:after="120" w:line="240" w:lineRule="auto"/>
            </w:pPr>
            <w:r>
              <w:t>Kanafani et al. (2019)</w:t>
            </w:r>
          </w:p>
        </w:tc>
        <w:tc>
          <w:tcPr>
            <w:tcW w:w="1599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5C084769" w14:textId="77777777" w:rsidR="002507F4" w:rsidRDefault="002507F4" w:rsidP="00ED6779">
            <w:pPr>
              <w:pStyle w:val="MDPI42tablebody"/>
              <w:spacing w:before="120" w:after="120" w:line="240" w:lineRule="auto"/>
            </w:pPr>
            <w:r>
              <w:t>Retrospective cohort</w:t>
            </w:r>
          </w:p>
        </w:tc>
        <w:tc>
          <w:tcPr>
            <w:tcW w:w="6317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44A86421" w14:textId="05CD774B" w:rsidR="002507F4" w:rsidRDefault="002507F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  <w:r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Significant reduction in VAP incidence rates after the combined adoption of ventilator bundle + multiple aggressive IC control strategies</w:t>
            </w:r>
            <w:r w:rsid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 xml:space="preserve"> </w:t>
            </w:r>
            <w:r w:rsidR="00C02937" w:rsidRPr="00C02937"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  <w:t>(from 13.1 in 2008 to 1.1 per 1000 ventilator-days in 2017, with a reduction rate of 91.6%)</w:t>
            </w:r>
          </w:p>
        </w:tc>
        <w:tc>
          <w:tcPr>
            <w:tcW w:w="2041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B162FCA" w14:textId="77777777" w:rsidR="002507F4" w:rsidRDefault="002507F4" w:rsidP="009D47DE">
            <w:pPr>
              <w:pStyle w:val="NormaleWeb"/>
              <w:spacing w:before="120" w:beforeAutospacing="0" w:after="120" w:afterAutospacing="0"/>
              <w:rPr>
                <w:rFonts w:ascii="Palatino Linotype" w:hAnsi="Palatino Linotype"/>
                <w:snapToGrid w:val="0"/>
                <w:color w:val="000000"/>
                <w:sz w:val="20"/>
                <w:szCs w:val="20"/>
                <w:lang w:val="en-US" w:eastAsia="de-DE" w:bidi="en-US"/>
              </w:rPr>
            </w:pPr>
          </w:p>
        </w:tc>
      </w:tr>
    </w:tbl>
    <w:p w14:paraId="0375290B" w14:textId="552D80B6" w:rsidR="000B33E3" w:rsidRPr="00D203AC" w:rsidRDefault="00D203AC" w:rsidP="00B10FBC">
      <w:pPr>
        <w:pStyle w:val="MDPI43tablefooter"/>
        <w:spacing w:after="240"/>
        <w:rPr>
          <w:i/>
          <w:noProof/>
          <w:snapToGrid w:val="0"/>
          <w:sz w:val="20"/>
        </w:rPr>
      </w:pPr>
      <w:r>
        <w:lastRenderedPageBreak/>
        <w:t>3GCRE = 3</w:t>
      </w:r>
      <w:r w:rsidRPr="00D203AC">
        <w:rPr>
          <w:vertAlign w:val="superscript"/>
        </w:rPr>
        <w:t>rd</w:t>
      </w:r>
      <w:r>
        <w:t xml:space="preserve"> generation cephalosporines-resistant </w:t>
      </w:r>
      <w:r w:rsidRPr="00D203AC">
        <w:rPr>
          <w:i/>
        </w:rPr>
        <w:t>Enterobacteriaceae</w:t>
      </w:r>
      <w:r>
        <w:t xml:space="preserve">, </w:t>
      </w:r>
      <w:r w:rsidR="008C34F3">
        <w:t xml:space="preserve">aRR = adjusted risk ratio, </w:t>
      </w:r>
      <w:r w:rsidR="001A3ABE">
        <w:t xml:space="preserve">CDC = Centre for Disease Control and Prevention, </w:t>
      </w:r>
      <w:r>
        <w:t xml:space="preserve">CHX = Chlorhexidine, </w:t>
      </w:r>
      <w:r w:rsidR="000E765E">
        <w:t>CI = confidence interval</w:t>
      </w:r>
      <w:r w:rsidR="00C65ED5">
        <w:t xml:space="preserve">, </w:t>
      </w:r>
      <w:r w:rsidR="00662486">
        <w:t xml:space="preserve">CRAB = carbapenem-resistant </w:t>
      </w:r>
      <w:r w:rsidR="00662486">
        <w:rPr>
          <w:i/>
        </w:rPr>
        <w:t xml:space="preserve">Acinetobacter </w:t>
      </w:r>
      <w:r w:rsidR="00662486" w:rsidRPr="00662486">
        <w:t>baumannii</w:t>
      </w:r>
      <w:r w:rsidR="00662486">
        <w:t xml:space="preserve">, </w:t>
      </w:r>
      <w:r w:rsidR="003B0C0F">
        <w:t xml:space="preserve">CRGNB = carbapenem-resistant Gram-negative bacilli, </w:t>
      </w:r>
      <w:r w:rsidRPr="00662486">
        <w:t>CRPA</w:t>
      </w:r>
      <w:r>
        <w:t xml:space="preserve"> = carbapenem-resistant </w:t>
      </w:r>
      <w:r>
        <w:rPr>
          <w:i/>
        </w:rPr>
        <w:t>Pseudomonas aeruginosa</w:t>
      </w:r>
      <w:r>
        <w:t xml:space="preserve">, ESBL = extended-spectrum beta-lactamase, </w:t>
      </w:r>
      <w:r w:rsidR="003B0C0F">
        <w:t>ETT = endotracheal tube</w:t>
      </w:r>
      <w:r w:rsidR="00E9251D">
        <w:t>,</w:t>
      </w:r>
      <w:r>
        <w:t xml:space="preserve"> </w:t>
      </w:r>
      <w:r w:rsidR="000E765E">
        <w:t xml:space="preserve">IC = infection control, </w:t>
      </w:r>
      <w:r w:rsidR="003B0C0F">
        <w:t xml:space="preserve">ICU = intensive care unit, </w:t>
      </w:r>
      <w:r w:rsidR="00414ED4">
        <w:t xml:space="preserve">IRR = incidence rate ratio, </w:t>
      </w:r>
      <w:r w:rsidR="001A3ABE">
        <w:t xml:space="preserve">LTACH = long-term acute care hospital, </w:t>
      </w:r>
      <w:r>
        <w:t xml:space="preserve">MDR = multidrug-resistant, </w:t>
      </w:r>
      <w:r w:rsidR="00662486">
        <w:t xml:space="preserve">MRSA = methicillin-resistant </w:t>
      </w:r>
      <w:r w:rsidR="00662486">
        <w:rPr>
          <w:i/>
        </w:rPr>
        <w:t xml:space="preserve">Staphylococcus </w:t>
      </w:r>
      <w:r w:rsidR="00662486" w:rsidRPr="00662486">
        <w:t>aureus</w:t>
      </w:r>
      <w:r w:rsidR="00662486">
        <w:t xml:space="preserve">, </w:t>
      </w:r>
      <w:r w:rsidRPr="00662486">
        <w:t>RCT</w:t>
      </w:r>
      <w:r>
        <w:t xml:space="preserve"> = randomized controlled trial, </w:t>
      </w:r>
      <w:r w:rsidR="00EB3543">
        <w:t xml:space="preserve">RR = risk ratio, </w:t>
      </w:r>
      <w:r w:rsidR="00662486">
        <w:t xml:space="preserve">SDD = selective digestive decontamination, </w:t>
      </w:r>
      <w:r w:rsidR="00B34DD9">
        <w:t xml:space="preserve">sHR = sub-distribution hazard ratio, </w:t>
      </w:r>
      <w:r w:rsidR="00662486">
        <w:t xml:space="preserve">XDR = extensively drug-resistant, </w:t>
      </w:r>
      <w:r>
        <w:t>VAP = ventilator-associated pneumonia,</w:t>
      </w:r>
      <w:r w:rsidR="003B0C0F">
        <w:t xml:space="preserve"> </w:t>
      </w:r>
      <w:r w:rsidR="001A3ABE">
        <w:t xml:space="preserve">VHP = vaporized hydrogen peroxide, </w:t>
      </w:r>
      <w:r w:rsidR="003B0C0F">
        <w:t xml:space="preserve">VRE = vancomycin-resistant </w:t>
      </w:r>
      <w:r w:rsidR="003B0C0F">
        <w:rPr>
          <w:i/>
        </w:rPr>
        <w:t>E</w:t>
      </w:r>
      <w:r w:rsidR="003B0C0F" w:rsidRPr="003B0C0F">
        <w:rPr>
          <w:i/>
        </w:rPr>
        <w:t>nterococci</w:t>
      </w:r>
    </w:p>
    <w:p w14:paraId="22D8E541" w14:textId="77777777" w:rsidR="0058149E" w:rsidRPr="003C290B" w:rsidRDefault="00C94672" w:rsidP="00A916B5">
      <w:pPr>
        <w:rPr>
          <w:sz w:val="32"/>
          <w:szCs w:val="32"/>
        </w:rPr>
      </w:pPr>
    </w:p>
    <w:sectPr w:rsidR="0058149E" w:rsidRPr="003C290B" w:rsidSect="000B33E3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3E3"/>
    <w:rsid w:val="000264BC"/>
    <w:rsid w:val="00063321"/>
    <w:rsid w:val="000819A4"/>
    <w:rsid w:val="000B2C0B"/>
    <w:rsid w:val="000B33E3"/>
    <w:rsid w:val="000C54E1"/>
    <w:rsid w:val="000E765E"/>
    <w:rsid w:val="001424D4"/>
    <w:rsid w:val="00173F37"/>
    <w:rsid w:val="00180CAA"/>
    <w:rsid w:val="001A3ABE"/>
    <w:rsid w:val="001B2F01"/>
    <w:rsid w:val="00225DA9"/>
    <w:rsid w:val="00246572"/>
    <w:rsid w:val="002507F4"/>
    <w:rsid w:val="002C445E"/>
    <w:rsid w:val="002E485F"/>
    <w:rsid w:val="0035318E"/>
    <w:rsid w:val="003B0C0F"/>
    <w:rsid w:val="003B3144"/>
    <w:rsid w:val="003C290B"/>
    <w:rsid w:val="00414ED4"/>
    <w:rsid w:val="004C44F0"/>
    <w:rsid w:val="004D0314"/>
    <w:rsid w:val="004E47C7"/>
    <w:rsid w:val="00505EC2"/>
    <w:rsid w:val="00527D4D"/>
    <w:rsid w:val="00591474"/>
    <w:rsid w:val="00662486"/>
    <w:rsid w:val="007147BA"/>
    <w:rsid w:val="00740F77"/>
    <w:rsid w:val="00762B13"/>
    <w:rsid w:val="00764101"/>
    <w:rsid w:val="007F5D89"/>
    <w:rsid w:val="00833CA3"/>
    <w:rsid w:val="00881688"/>
    <w:rsid w:val="008C34F3"/>
    <w:rsid w:val="009620F2"/>
    <w:rsid w:val="00976F36"/>
    <w:rsid w:val="009D47DE"/>
    <w:rsid w:val="00A33E9D"/>
    <w:rsid w:val="00A916B5"/>
    <w:rsid w:val="00AE66B5"/>
    <w:rsid w:val="00B10FBC"/>
    <w:rsid w:val="00B34DD9"/>
    <w:rsid w:val="00B557A9"/>
    <w:rsid w:val="00C02937"/>
    <w:rsid w:val="00C65ED5"/>
    <w:rsid w:val="00C94672"/>
    <w:rsid w:val="00CB671F"/>
    <w:rsid w:val="00CD1FD5"/>
    <w:rsid w:val="00D203AC"/>
    <w:rsid w:val="00DA30CF"/>
    <w:rsid w:val="00E770B5"/>
    <w:rsid w:val="00E9251D"/>
    <w:rsid w:val="00EB3543"/>
    <w:rsid w:val="00EB4BDF"/>
    <w:rsid w:val="00ED6779"/>
    <w:rsid w:val="00F62DDD"/>
    <w:rsid w:val="00F7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98A9"/>
  <w15:chartTrackingRefBased/>
  <w15:docId w15:val="{8D05EBBC-094A-864C-82D2-AFA4FF81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B33E3"/>
    <w:pPr>
      <w:spacing w:line="340" w:lineRule="atLeast"/>
      <w:jc w:val="both"/>
    </w:pPr>
    <w:rPr>
      <w:rFonts w:ascii="Times New Roman" w:eastAsia="Times New Roman" w:hAnsi="Times New Roman" w:cs="Times New Roman"/>
      <w:color w:val="000000"/>
      <w:szCs w:val="20"/>
      <w:lang w:val="en-US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41tablecaption">
    <w:name w:val="MDPI_4.1_table_caption"/>
    <w:basedOn w:val="Normale"/>
    <w:qFormat/>
    <w:rsid w:val="000B33E3"/>
    <w:pPr>
      <w:adjustRightInd w:val="0"/>
      <w:snapToGrid w:val="0"/>
      <w:spacing w:before="240" w:after="120" w:line="260" w:lineRule="atLeast"/>
      <w:ind w:left="425" w:right="425"/>
    </w:pPr>
    <w:rPr>
      <w:rFonts w:ascii="Palatino Linotype" w:hAnsi="Palatino Linotype"/>
      <w:sz w:val="18"/>
      <w:szCs w:val="22"/>
      <w:lang w:bidi="en-US"/>
    </w:rPr>
  </w:style>
  <w:style w:type="paragraph" w:customStyle="1" w:styleId="MDPI42tablebody">
    <w:name w:val="MDPI_4.2_table_body"/>
    <w:qFormat/>
    <w:rsid w:val="000B33E3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Normale"/>
    <w:qFormat/>
    <w:rsid w:val="000B33E3"/>
    <w:pPr>
      <w:spacing w:before="0"/>
      <w:ind w:left="0" w:right="0"/>
    </w:pPr>
  </w:style>
  <w:style w:type="paragraph" w:styleId="NormaleWeb">
    <w:name w:val="Normal (Web)"/>
    <w:basedOn w:val="Normale"/>
    <w:uiPriority w:val="99"/>
    <w:unhideWhenUsed/>
    <w:rsid w:val="000B33E3"/>
    <w:pPr>
      <w:spacing w:before="100" w:beforeAutospacing="1" w:after="100" w:afterAutospacing="1" w:line="240" w:lineRule="auto"/>
      <w:jc w:val="left"/>
    </w:pPr>
    <w:rPr>
      <w:color w:val="auto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B33E3"/>
    <w:pPr>
      <w:spacing w:line="240" w:lineRule="auto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B33E3"/>
    <w:rPr>
      <w:rFonts w:ascii="Times New Roman" w:eastAsia="Times New Roman" w:hAnsi="Times New Roman" w:cs="Times New Roman"/>
      <w:color w:val="000000"/>
      <w:sz w:val="18"/>
      <w:szCs w:val="18"/>
      <w:lang w:val="en-US" w:eastAsia="de-DE"/>
    </w:rPr>
  </w:style>
  <w:style w:type="character" w:styleId="Rimandocommento">
    <w:name w:val="annotation reference"/>
    <w:basedOn w:val="Carpredefinitoparagrafo"/>
    <w:uiPriority w:val="99"/>
    <w:semiHidden/>
    <w:unhideWhenUsed/>
    <w:rsid w:val="00EB4BD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4BDF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4BDF"/>
    <w:rPr>
      <w:rFonts w:ascii="Times New Roman" w:eastAsia="Times New Roman" w:hAnsi="Times New Roman" w:cs="Times New Roman"/>
      <w:color w:val="000000"/>
      <w:sz w:val="20"/>
      <w:szCs w:val="20"/>
      <w:lang w:val="en-US"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4BD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4BDF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1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0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0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1238</Words>
  <Characters>8078</Characters>
  <Application>Microsoft Office Word</Application>
  <DocSecurity>0</DocSecurity>
  <Lines>403</Lines>
  <Paragraphs>273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Guido</cp:lastModifiedBy>
  <cp:revision>61</cp:revision>
  <dcterms:created xsi:type="dcterms:W3CDTF">2020-01-14T13:49:00Z</dcterms:created>
  <dcterms:modified xsi:type="dcterms:W3CDTF">2020-02-08T15:33:00Z</dcterms:modified>
</cp:coreProperties>
</file>